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19E" w:rsidRPr="00500BC4" w:rsidRDefault="0087519E" w:rsidP="0087519E">
      <w:pPr>
        <w:spacing w:after="0" w:line="240" w:lineRule="auto"/>
        <w:jc w:val="right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IZMJENAMA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DOPUNAMA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OSNOVNOM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VASPITANJU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OBRAZOVANJU</w:t>
      </w:r>
    </w:p>
    <w:p w:rsidR="0087519E" w:rsidRPr="00500BC4" w:rsidRDefault="0087519E" w:rsidP="0087519E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vaspitanju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44/17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31/18),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mijenja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„(9)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zdravstvena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ustanova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saradnji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organizuje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sistematski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pregled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skladu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propisima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oblasti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zdravstvene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zaštite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dodaju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10, 11, 12.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glase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pStyle w:val="BodyText2"/>
        <w:tabs>
          <w:tab w:val="clear" w:pos="720"/>
        </w:tabs>
        <w:ind w:firstLine="360"/>
        <w:rPr>
          <w:b w:val="0"/>
          <w:noProof/>
          <w:lang w:val="sr-Latn-CS"/>
        </w:rPr>
      </w:pPr>
      <w:r w:rsidRPr="00500BC4">
        <w:rPr>
          <w:b w:val="0"/>
          <w:noProof/>
          <w:lang w:val="sr-Latn-CS"/>
        </w:rPr>
        <w:t xml:space="preserve">„(10) </w:t>
      </w:r>
      <w:r>
        <w:rPr>
          <w:b w:val="0"/>
          <w:noProof/>
          <w:lang w:val="sr-Latn-CS"/>
        </w:rPr>
        <w:t>Proslava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maturske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večeri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učenike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završnog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razreda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organizuje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prostorijama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škole</w:t>
      </w:r>
      <w:r w:rsidRPr="00500BC4">
        <w:rPr>
          <w:b w:val="0"/>
          <w:noProof/>
          <w:lang w:val="sr-Latn-CS"/>
        </w:rPr>
        <w:t>.</w:t>
      </w:r>
    </w:p>
    <w:p w:rsidR="0087519E" w:rsidRPr="00500BC4" w:rsidRDefault="0087519E" w:rsidP="0087519E">
      <w:pPr>
        <w:pStyle w:val="BodyText2"/>
        <w:tabs>
          <w:tab w:val="clear" w:pos="720"/>
        </w:tabs>
        <w:ind w:firstLine="360"/>
        <w:rPr>
          <w:b w:val="0"/>
          <w:noProof/>
          <w:lang w:val="sr-Latn-CS"/>
        </w:rPr>
      </w:pPr>
      <w:r w:rsidRPr="00500BC4">
        <w:rPr>
          <w:b w:val="0"/>
          <w:noProof/>
          <w:lang w:val="sr-Latn-CS"/>
        </w:rPr>
        <w:t xml:space="preserve">(11) </w:t>
      </w:r>
      <w:r>
        <w:rPr>
          <w:b w:val="0"/>
          <w:noProof/>
          <w:lang w:val="sr-Latn-CS"/>
        </w:rPr>
        <w:t>Ukoliko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postoje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uslovi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za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organizovanje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proslave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maturske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večeri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prostorijama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škole</w:t>
      </w:r>
      <w:r w:rsidRPr="00500BC4">
        <w:rPr>
          <w:b w:val="0"/>
          <w:noProof/>
          <w:lang w:val="sr-Latn-CS"/>
        </w:rPr>
        <w:t xml:space="preserve">, </w:t>
      </w:r>
      <w:r>
        <w:rPr>
          <w:b w:val="0"/>
          <w:noProof/>
          <w:lang w:val="sr-Latn-CS"/>
        </w:rPr>
        <w:t>proslava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može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organizovati</w:t>
      </w:r>
      <w:r w:rsidRPr="00500BC4">
        <w:rPr>
          <w:b w:val="0"/>
          <w:noProof/>
          <w:lang w:val="sr-Latn-CS"/>
        </w:rPr>
        <w:t xml:space="preserve">, </w:t>
      </w:r>
      <w:r>
        <w:rPr>
          <w:b w:val="0"/>
          <w:noProof/>
          <w:lang w:val="sr-Latn-CS"/>
        </w:rPr>
        <w:t>u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dogovoru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nadležnom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jedinicom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lokalne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samouprave</w:t>
      </w:r>
      <w:r w:rsidRPr="00500BC4">
        <w:rPr>
          <w:b w:val="0"/>
          <w:noProof/>
          <w:lang w:val="sr-Latn-CS"/>
        </w:rPr>
        <w:t xml:space="preserve">, </w:t>
      </w:r>
      <w:r>
        <w:rPr>
          <w:b w:val="0"/>
          <w:noProof/>
          <w:lang w:val="sr-Latn-CS"/>
        </w:rPr>
        <w:t>u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ustanovama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kulture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ili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sporta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na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području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jedinice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lokalne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samouprave</w:t>
      </w:r>
      <w:r w:rsidRPr="00500BC4">
        <w:rPr>
          <w:b w:val="0"/>
          <w:noProof/>
          <w:lang w:val="sr-Latn-CS"/>
        </w:rPr>
        <w:t xml:space="preserve">. </w:t>
      </w:r>
    </w:p>
    <w:p w:rsidR="0087519E" w:rsidRPr="00500BC4" w:rsidRDefault="0087519E" w:rsidP="0087519E">
      <w:pPr>
        <w:pStyle w:val="BodyText2"/>
        <w:tabs>
          <w:tab w:val="clear" w:pos="720"/>
        </w:tabs>
        <w:ind w:firstLine="360"/>
        <w:rPr>
          <w:b w:val="0"/>
          <w:noProof/>
          <w:lang w:val="sr-Latn-CS"/>
        </w:rPr>
      </w:pPr>
      <w:r w:rsidRPr="00500BC4">
        <w:rPr>
          <w:b w:val="0"/>
          <w:noProof/>
          <w:lang w:val="sr-Latn-CS"/>
        </w:rPr>
        <w:t xml:space="preserve">(12) </w:t>
      </w:r>
      <w:r>
        <w:rPr>
          <w:b w:val="0"/>
          <w:noProof/>
          <w:lang w:val="sr-Latn-CS"/>
        </w:rPr>
        <w:t>U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organizovanje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proslave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maturske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večeri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moraju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biti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uključeni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predstavnici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savjeta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roditelja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savjeta</w:t>
      </w:r>
      <w:r w:rsidRPr="00500BC4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učenika</w:t>
      </w:r>
      <w:r w:rsidRPr="00500BC4">
        <w:rPr>
          <w:b w:val="0"/>
          <w:noProof/>
          <w:lang w:val="sr-Latn-CS"/>
        </w:rPr>
        <w:t>.</w:t>
      </w:r>
    </w:p>
    <w:p w:rsidR="0087519E" w:rsidRPr="00500BC4" w:rsidRDefault="0087519E" w:rsidP="0087519E">
      <w:pPr>
        <w:pStyle w:val="CommentText"/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(13)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Učenici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matursko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veče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alkoholnih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pića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duvanskih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maloljetnim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pStyle w:val="CommentText"/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pStyle w:val="CommentText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87519E" w:rsidRPr="00500BC4" w:rsidRDefault="0087519E" w:rsidP="0087519E">
      <w:pPr>
        <w:pStyle w:val="CommentText"/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ispred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obostranoj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zagradi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devet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devetog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pedagoškim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normativima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pedagoškim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normativima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pravilnicima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normiranja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norme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40-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sedmice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87519E" w:rsidRPr="00500BC4" w:rsidRDefault="0087519E" w:rsidP="0087519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23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23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procjenjuje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ocijeni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23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ocijeni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inicijativa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provjerava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23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činjenično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činjeničnom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sudski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23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odrediće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4.“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zamjenjuje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brojem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: „3.“.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32.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Ukoliko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upisu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djeteta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čijem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upisnom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području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pripada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nalazi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području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jedinice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nalazi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učenik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pripada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upisnom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području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jedinica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učenik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prijavljeno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prebivalište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saglasnost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prethodno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pribavljeno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mišljenje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jedinice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čijem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području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nalazi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traži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saglasnost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upis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Dosadašnji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postaje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7.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35.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14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pribavljeno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Područno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devetorazredno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devetog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36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devetorazredno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nastavlja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petorazredno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devetorazredno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nastaviti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Područno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petorazredno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petorazredno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nastaviti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ugrožena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dolasku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odlasku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Pored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uslova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navedenih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područno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prestaje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ispunjava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uslove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obavljanje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djelatnosti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obavlja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djelatnost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osnovana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Privatna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prestaje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devetog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Osnivač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dužan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učenicima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područnog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odjeljenja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prestalo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obezbijedi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nastavak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školovanja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odgovarajućoj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87519E" w:rsidRPr="00500BC4" w:rsidRDefault="0087519E" w:rsidP="0087519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„(10)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proglašena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obustavlja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vanredna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87519E" w:rsidRPr="00500BC4" w:rsidRDefault="0087519E" w:rsidP="0087519E">
      <w:pPr>
        <w:tabs>
          <w:tab w:val="left" w:pos="720"/>
        </w:tabs>
        <w:spacing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48.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školama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djecu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smetnjama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razvoju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sastavljeno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optimalno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>(3)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uključena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smetnjama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usmjeravanje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smetnjama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individualnim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smetnjama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individualnim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optimalan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smetnjama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individualnim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maksimalan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dužna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kraja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juna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tekuće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zatraži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saglasnost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ukoliko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prilikom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formiranja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odjeljenja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narednu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školsku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potrebu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odstupi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2, 3, 4, 5, 6, 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Javna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dužna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kraja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jula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tekuće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obavijesti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elektronski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pisanom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obliku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formiranim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odjeljenjima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odjeljenje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3, 4, 5, 6, 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osnivač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privatne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svojim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aktom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propisuje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broj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„(4)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boravak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produženom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87519E" w:rsidRPr="00500BC4" w:rsidRDefault="0087519E" w:rsidP="0087519E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5, 6, 7.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„(5)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boravak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produženog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korištenja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Jutarnje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450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bruto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jutarnjem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450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450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jutarnje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jutarnjeg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rashoda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korištenja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robe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Ekskurzije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izleti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donacijama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9.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59.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Dokumentacija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potrebna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upis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djeteta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prvi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razred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: </w:t>
      </w:r>
    </w:p>
    <w:p w:rsidR="0087519E" w:rsidRPr="00500BC4" w:rsidRDefault="0087519E" w:rsidP="0087519E">
      <w:pPr>
        <w:spacing w:after="0" w:line="240" w:lineRule="auto"/>
        <w:ind w:firstLine="45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izvod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matične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knjige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rođenih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papirnom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obliku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digitalni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podataka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sadržanih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izvodu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matične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knjige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rođenih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saglasnost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roditelja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preuzima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ovlašćeno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Centralnog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informacionog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primjerak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matičnih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knjiga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elektronskom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obliku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uprave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45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uvjerenje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prebivalištu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papirnom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obliku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digitalni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podataka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saglasnost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roditelja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preuzima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ovlašćeno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informacionog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unutrašnjih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poslova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45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ljekarsko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uvjerenje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izdato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zdravstvene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ustanove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procjenjuje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zdravstvena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sposobnost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djeteta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polazak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45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knjiga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praćenje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razvoja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djeteta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štampanom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elektronskom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obliku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ukoliko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dijete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pohađalo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predškolsku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ustanovu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: „3“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„2“.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pacing w:val="4"/>
          <w:sz w:val="24"/>
          <w:szCs w:val="24"/>
          <w:lang w:val="sr-Latn-CS"/>
        </w:rPr>
        <w:t>„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Stručnu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pomoć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okviru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opservacionog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perioda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pruža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stručna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služba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najvećoj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mogućoj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mjeri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konsultuje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uključuje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stručna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lica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resursnog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centra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inkluzivno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vaspitanje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obrazovanje</w:t>
      </w:r>
      <w:r w:rsidRPr="00500BC4">
        <w:rPr>
          <w:rFonts w:ascii="Times New Roman" w:hAnsi="Times New Roman"/>
          <w:bCs/>
          <w:noProof/>
          <w:spacing w:val="4"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Dosadašnji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3, 4, 5, 6, 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postaju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2, 3, 4, 5, 6.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7.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osnovu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dodaju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saglasnosti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odjeljenja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službe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jedinice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,“.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Ukoliko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prepisu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djeteta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nalazi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području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jedinice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nalazi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učenik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pohađa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jedinica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učenik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prijavljeno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prebivalište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saglasnost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prethodno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pribavljeno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mišljenje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jedinice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lokalne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samouprave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čijem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području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nalazi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traži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saglasnost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prepis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Dosadašnji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postaju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4. 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14.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77.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polugodišta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zapeta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prijema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obavještenja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odjeljenjskog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starješine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zaključenoj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ocjeni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nedovoljan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(1)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upućivanju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popravni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ispit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“.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82.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Vaspitno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obrazovni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karton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vodi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pisanom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elektronskom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obliku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školama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imaju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implementiran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jedinstveni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informacioni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[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eDnevnik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]).“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Dosadašnji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2, 3.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postaju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5. 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84.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7, 8.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6, 7.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91.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novi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91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: </w:t>
      </w:r>
    </w:p>
    <w:p w:rsidR="0087519E" w:rsidRPr="00500BC4" w:rsidRDefault="0087519E" w:rsidP="0087519E">
      <w:pPr>
        <w:spacing w:after="0" w:line="240" w:lineRule="auto"/>
        <w:contextualSpacing/>
        <w:jc w:val="center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91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Škola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90.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ustanova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socijalne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zaštite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91.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može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bude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resursni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centar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inkluzivno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vaspitanje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obrazovanje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Resursni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centar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inkluzivno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vaspitanje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obrazovanje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obavlja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sljedeće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poslove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opservacija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procjena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djece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smetnjama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razvoju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skladu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članom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59.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pomoć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izradi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individualnih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obrazovnih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programa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izvođenje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obaveznih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individualnih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grupnih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vannastavnih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aktivnosti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učenike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inkluzivnom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vaspitanju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obrazovanju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individu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lni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f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e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kt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l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ški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adaptacija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udžbenika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obrazovnih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materijala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učenike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smetnjama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razvoju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obuka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upotrebu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asistivnih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tehnologija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obrazovanju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organizovanje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seminara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obuka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nastavnike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redovnim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školama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savjetodavni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rad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roditeljima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drugi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poslovi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interesu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poboljšanja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položaja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smetnjama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razvoju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lastRenderedPageBreak/>
        <w:t xml:space="preserve">(3)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rješenjem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daje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saglasnost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organizovanje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rada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resursnog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centra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inkluzivno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vaspitanje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obrazovanje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okviru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škola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ustanova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socijalne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zaštite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Škola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ustanova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socijalne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zaštite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svojim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aktom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organizaciji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sistematizaciji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propisuje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organizaciju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poslova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eastAsia="Calibri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112.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„(1)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obavljenog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pripravničkog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staža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polažu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o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vjeroučitelj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vjeroučitelje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vjerska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računovođa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knjigovodstveno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računovodstvena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praktičnog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Praktični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111.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vjeroučitelj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visokoškolskoj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stiču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vjerska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80% </w:t>
      </w:r>
      <w:r>
        <w:rPr>
          <w:rFonts w:ascii="Times New Roman" w:hAnsi="Times New Roman"/>
          <w:noProof/>
          <w:sz w:val="24"/>
          <w:szCs w:val="24"/>
          <w:lang w:val="sr-Latn-CS"/>
        </w:rPr>
        <w:t>najniže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oporezivanja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popravni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popravnog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40% </w:t>
      </w:r>
      <w:r>
        <w:rPr>
          <w:rFonts w:ascii="Times New Roman" w:hAnsi="Times New Roman"/>
          <w:noProof/>
          <w:sz w:val="24"/>
          <w:szCs w:val="24"/>
          <w:lang w:val="sr-Latn-CS"/>
        </w:rPr>
        <w:t>najniže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oporezivanja</w:t>
      </w:r>
      <w:r w:rsidRPr="00500BC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5% </w:t>
      </w:r>
      <w:r>
        <w:rPr>
          <w:rFonts w:ascii="Times New Roman" w:hAnsi="Times New Roman"/>
          <w:noProof/>
          <w:sz w:val="24"/>
          <w:szCs w:val="24"/>
          <w:lang w:val="sr-Latn-CS"/>
        </w:rPr>
        <w:t>najniže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oporezivanja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(12)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(13)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pripravnik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(14)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111.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(15)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(16)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prijavljenih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unutar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praktičnog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usmenog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dijela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112.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112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112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Bračni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poginulog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nestalog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borca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invaliditetom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nastanka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invalidnosti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uvjerenjem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nadležnih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oslobađaju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112.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8.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oslobađanju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polaganje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118.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skladu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pravilnikom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propisuju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normativi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standardi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finansiranje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osnovnih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“.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21.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122.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mijenja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„(3)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Nastavniku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prestaje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radni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kraju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nastave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polugodištu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navršava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65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života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najmanje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staža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osiguranja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22.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127.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127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127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zalaganje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učeničkih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talenata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kritičkog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razmišljanja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zalaganja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interesovanja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boljih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raznovrsnih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inovativnih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vaspitno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kvalitetnijem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vaspitanju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nastavnici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nagrađeni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Svetosavskom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Svetosavske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raspisuje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otvoren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Svetosavske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prijavljivanja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Svetosavske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dodjeljuje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staža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bodovanje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Svetosavske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osvojeno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je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inovativnost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kreativnost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raznovrsnih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inovativnih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vaspitno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>3)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unapređivanju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vannastavnim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Svetosavska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dodijeli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Dobitniku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Svetosavske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dodjeljuje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povelju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dodjeljuje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prosječne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oporezivanja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isplaćene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nastavniku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dodjeljivanja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dodjeljivanje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Svetosavske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23.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140.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vraća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imenovanja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“. 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24.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142.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najduže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šest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mjeseci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“.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: „6.“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: „7.“,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najduže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šest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mjeseci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“.</w:t>
      </w:r>
    </w:p>
    <w:p w:rsidR="0087519E" w:rsidRPr="00500BC4" w:rsidRDefault="0087519E" w:rsidP="0087519E">
      <w:pPr>
        <w:spacing w:after="0" w:line="240" w:lineRule="auto"/>
        <w:ind w:firstLine="284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25.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pStyle w:val="Plain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157.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pStyle w:val="PlainText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sz w:val="24"/>
          <w:szCs w:val="24"/>
          <w:lang w:val="sr-Latn-CS"/>
        </w:rPr>
        <w:t>Pedagoška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implementiran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[</w:t>
      </w:r>
      <w:r>
        <w:rPr>
          <w:rFonts w:ascii="Times New Roman" w:hAnsi="Times New Roman"/>
          <w:noProof/>
          <w:sz w:val="24"/>
          <w:szCs w:val="24"/>
          <w:lang w:val="sr-Latn-CS"/>
        </w:rPr>
        <w:t>eDnevnik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]).“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26.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159.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„(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implementiran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[</w:t>
      </w:r>
      <w:r>
        <w:rPr>
          <w:rFonts w:ascii="Times New Roman" w:hAnsi="Times New Roman"/>
          <w:noProof/>
          <w:sz w:val="24"/>
          <w:szCs w:val="24"/>
          <w:lang w:val="sr-Latn-CS"/>
        </w:rPr>
        <w:t>eDnevnik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])“.</w:t>
      </w: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27.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173.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„2)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služenje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alkoholnih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pića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duvanskih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maloljetnim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12),“.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2), 3), 4), 5), 6), 7), 8), 9), 10), 11), 12)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13)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3), 4), 5), 6), 7), 8), 9), 10), 11), 12), 13)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14).</w:t>
      </w:r>
    </w:p>
    <w:p w:rsidR="0087519E" w:rsidRPr="00500BC4" w:rsidRDefault="0087519E" w:rsidP="0087519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28.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177.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5, 6.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„(5)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Direktor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imenovan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osnovu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osnovnom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obrazovanju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vaspitanju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(‘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Službeni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glasnik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Srpske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’,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br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74/08, 71/09, 104/11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33/14),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prestanku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obavljanja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dužnosti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direktora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vraća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onu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mjesto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imenovanja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direktora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slobodnog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radnog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jer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vrijeme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vršenja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mandata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direktora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njegovo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prethodno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mjesto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primljen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radnik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mjesto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ukinuto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raspoređuje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mjesto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odgovara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njegovom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nivou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obrazovanja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stručnom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zvanju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određenoj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oblasti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istoj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skladu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članom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114.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nema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slobodnog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radnog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mjesta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istoj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drugoj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školi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ostaje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neraspoređeno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ostvaruje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platu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visini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ostvarilo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mjesec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prethodio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mjesecu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kojem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prestala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dužnost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najduže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šest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mjeseci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nakon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čega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mu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prestaje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radni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</w:t>
      </w:r>
      <w:r w:rsidRPr="00500BC4">
        <w:rPr>
          <w:rFonts w:ascii="Times New Roman" w:hAnsi="Times New Roman"/>
          <w:bCs/>
          <w:noProof/>
          <w:sz w:val="24"/>
          <w:szCs w:val="24"/>
          <w:lang w:val="sr-Latn-CS"/>
        </w:rPr>
        <w:t>.“</w:t>
      </w:r>
    </w:p>
    <w:p w:rsidR="0087519E" w:rsidRPr="00500BC4" w:rsidRDefault="0087519E" w:rsidP="0087519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29.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179.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2)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23)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22).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30.</w:t>
      </w: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179.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179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179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donijeti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dodjeljivanje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Svetosavske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nagrade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127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).“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31.</w:t>
      </w:r>
    </w:p>
    <w:p w:rsidR="0087519E" w:rsidRPr="00500BC4" w:rsidRDefault="0087519E" w:rsidP="0087519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:rsidR="0087519E" w:rsidRPr="00500BC4" w:rsidRDefault="0087519E" w:rsidP="0087519E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276081">
        <w:rPr>
          <w:rFonts w:ascii="Times New Roman" w:hAnsi="Times New Roman"/>
          <w:sz w:val="24"/>
          <w:szCs w:val="24"/>
        </w:rPr>
        <w:t>923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>/19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87519E" w:rsidRPr="00500BC4" w:rsidRDefault="0087519E" w:rsidP="0087519E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: 27.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septembar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:rsidR="0087519E" w:rsidRPr="00500BC4" w:rsidRDefault="0087519E" w:rsidP="0087519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tabs>
          <w:tab w:val="center" w:pos="7560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500BC4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Nedeljko</w:t>
      </w:r>
      <w:r w:rsidRPr="00500BC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Čubrilović</w:t>
      </w:r>
    </w:p>
    <w:p w:rsidR="0087519E" w:rsidRPr="00500BC4" w:rsidRDefault="0087519E" w:rsidP="0087519E">
      <w:pPr>
        <w:tabs>
          <w:tab w:val="center" w:pos="7560"/>
        </w:tabs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7519E" w:rsidRPr="00500BC4" w:rsidRDefault="0087519E" w:rsidP="0087519E">
      <w:pPr>
        <w:tabs>
          <w:tab w:val="center" w:pos="7560"/>
        </w:tabs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552D70" w:rsidRDefault="00552D70"/>
    <w:sectPr w:rsidR="00552D70" w:rsidSect="00004CC7">
      <w:pgSz w:w="11909" w:h="16834" w:code="9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E25D1"/>
    <w:multiLevelType w:val="hybridMultilevel"/>
    <w:tmpl w:val="17EAF002"/>
    <w:lvl w:ilvl="0" w:tplc="6F0ECEE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9442D59"/>
    <w:multiLevelType w:val="hybridMultilevel"/>
    <w:tmpl w:val="F1B44B4A"/>
    <w:lvl w:ilvl="0" w:tplc="F3C0B83C">
      <w:start w:val="1"/>
      <w:numFmt w:val="bullet"/>
      <w:lvlText w:val="‒"/>
      <w:lvlJc w:val="left"/>
      <w:pPr>
        <w:ind w:left="1185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0D3C5C63"/>
    <w:multiLevelType w:val="hybridMultilevel"/>
    <w:tmpl w:val="0A129272"/>
    <w:lvl w:ilvl="0" w:tplc="6F0ECEE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FE32E4C"/>
    <w:multiLevelType w:val="hybridMultilevel"/>
    <w:tmpl w:val="8320E604"/>
    <w:lvl w:ilvl="0" w:tplc="F3C0B83C">
      <w:start w:val="1"/>
      <w:numFmt w:val="bullet"/>
      <w:lvlText w:val="‒"/>
      <w:lvlJc w:val="left"/>
      <w:pPr>
        <w:ind w:left="825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10D6486"/>
    <w:multiLevelType w:val="hybridMultilevel"/>
    <w:tmpl w:val="7996F020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93525D9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60F26"/>
    <w:multiLevelType w:val="hybridMultilevel"/>
    <w:tmpl w:val="BE66F0E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E5B72"/>
    <w:multiLevelType w:val="hybridMultilevel"/>
    <w:tmpl w:val="C206D650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11FF3"/>
    <w:multiLevelType w:val="hybridMultilevel"/>
    <w:tmpl w:val="C9FEA9D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E6202"/>
    <w:multiLevelType w:val="hybridMultilevel"/>
    <w:tmpl w:val="7138039E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D183A"/>
    <w:multiLevelType w:val="hybridMultilevel"/>
    <w:tmpl w:val="2A0C5A8E"/>
    <w:lvl w:ilvl="0" w:tplc="F3C0B83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B765307"/>
    <w:multiLevelType w:val="hybridMultilevel"/>
    <w:tmpl w:val="E960887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14474"/>
    <w:multiLevelType w:val="hybridMultilevel"/>
    <w:tmpl w:val="910AD66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66612"/>
    <w:multiLevelType w:val="hybridMultilevel"/>
    <w:tmpl w:val="2BD626B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A47F6E"/>
    <w:multiLevelType w:val="hybridMultilevel"/>
    <w:tmpl w:val="DAAA414A"/>
    <w:lvl w:ilvl="0" w:tplc="F3C0B83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F3C0B83C">
      <w:start w:val="1"/>
      <w:numFmt w:val="bullet"/>
      <w:lvlText w:val="‒"/>
      <w:lvlJc w:val="left"/>
      <w:pPr>
        <w:ind w:left="150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9754A1B"/>
    <w:multiLevelType w:val="hybridMultilevel"/>
    <w:tmpl w:val="5770F97C"/>
    <w:lvl w:ilvl="0" w:tplc="F3C0B83C">
      <w:start w:val="1"/>
      <w:numFmt w:val="bullet"/>
      <w:lvlText w:val="‒"/>
      <w:lvlJc w:val="left"/>
      <w:pPr>
        <w:ind w:left="930" w:hanging="360"/>
      </w:pPr>
      <w:rPr>
        <w:rFonts w:ascii="Calibri" w:hAnsi="Calibri" w:hint="default"/>
      </w:rPr>
    </w:lvl>
    <w:lvl w:ilvl="1" w:tplc="F3C0B83C">
      <w:start w:val="1"/>
      <w:numFmt w:val="bullet"/>
      <w:lvlText w:val="‒"/>
      <w:lvlJc w:val="left"/>
      <w:pPr>
        <w:ind w:left="165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5" w15:restartNumberingAfterBreak="0">
    <w:nsid w:val="5AC92A8A"/>
    <w:multiLevelType w:val="hybridMultilevel"/>
    <w:tmpl w:val="38B85868"/>
    <w:lvl w:ilvl="0" w:tplc="F3C0B83C">
      <w:start w:val="1"/>
      <w:numFmt w:val="bullet"/>
      <w:lvlText w:val="‒"/>
      <w:lvlJc w:val="left"/>
      <w:pPr>
        <w:ind w:left="825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61FE1B52"/>
    <w:multiLevelType w:val="hybridMultilevel"/>
    <w:tmpl w:val="970AC4C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03E04"/>
    <w:multiLevelType w:val="hybridMultilevel"/>
    <w:tmpl w:val="2D044F84"/>
    <w:lvl w:ilvl="0" w:tplc="9AEA75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F0956"/>
    <w:multiLevelType w:val="hybridMultilevel"/>
    <w:tmpl w:val="B10A7B1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480352"/>
    <w:multiLevelType w:val="hybridMultilevel"/>
    <w:tmpl w:val="28CC8DEE"/>
    <w:lvl w:ilvl="0" w:tplc="9AEA75E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7"/>
  </w:num>
  <w:num w:numId="4">
    <w:abstractNumId w:val="6"/>
  </w:num>
  <w:num w:numId="5">
    <w:abstractNumId w:val="1"/>
  </w:num>
  <w:num w:numId="6">
    <w:abstractNumId w:val="4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5"/>
  </w:num>
  <w:num w:numId="12">
    <w:abstractNumId w:val="5"/>
  </w:num>
  <w:num w:numId="13">
    <w:abstractNumId w:val="14"/>
  </w:num>
  <w:num w:numId="14">
    <w:abstractNumId w:val="16"/>
  </w:num>
  <w:num w:numId="15">
    <w:abstractNumId w:val="9"/>
  </w:num>
  <w:num w:numId="16">
    <w:abstractNumId w:val="3"/>
  </w:num>
  <w:num w:numId="17">
    <w:abstractNumId w:val="13"/>
  </w:num>
  <w:num w:numId="18">
    <w:abstractNumId w:val="18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7D"/>
    <w:rsid w:val="00276081"/>
    <w:rsid w:val="00552D70"/>
    <w:rsid w:val="0087519E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77C7D"/>
    <w:rsid w:val="00E90017"/>
    <w:rsid w:val="00F7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7368B-005B-4B70-817F-77D2076C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19E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87519E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r-Cyrl-CS" w:eastAsia="x-none"/>
    </w:rPr>
  </w:style>
  <w:style w:type="paragraph" w:styleId="Heading5">
    <w:name w:val="heading 5"/>
    <w:basedOn w:val="Normal"/>
    <w:next w:val="Normal"/>
    <w:link w:val="Heading5Char"/>
    <w:qFormat/>
    <w:rsid w:val="0087519E"/>
    <w:pPr>
      <w:keepNext/>
      <w:spacing w:after="0" w:line="240" w:lineRule="auto"/>
      <w:ind w:left="360"/>
      <w:outlineLvl w:val="4"/>
    </w:pPr>
    <w:rPr>
      <w:rFonts w:ascii="Times New Roman" w:hAnsi="Times New Roman"/>
      <w:sz w:val="28"/>
      <w:szCs w:val="24"/>
      <w:lang w:val="sr-Cyrl-CS" w:eastAsia="x-none"/>
    </w:rPr>
  </w:style>
  <w:style w:type="paragraph" w:styleId="Heading6">
    <w:name w:val="heading 6"/>
    <w:basedOn w:val="Normal"/>
    <w:next w:val="Normal"/>
    <w:link w:val="Heading6Char"/>
    <w:qFormat/>
    <w:rsid w:val="0087519E"/>
    <w:pPr>
      <w:keepNext/>
      <w:spacing w:after="0" w:line="240" w:lineRule="auto"/>
      <w:ind w:left="540"/>
      <w:outlineLvl w:val="5"/>
    </w:pPr>
    <w:rPr>
      <w:rFonts w:ascii="Times New Roman" w:hAnsi="Times New Roman"/>
      <w:sz w:val="28"/>
      <w:szCs w:val="24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519E"/>
    <w:rPr>
      <w:rFonts w:ascii="Times New Roman" w:eastAsia="Times New Roman" w:hAnsi="Times New Roman" w:cs="Times New Roman"/>
      <w:sz w:val="28"/>
      <w:szCs w:val="24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87519E"/>
    <w:rPr>
      <w:rFonts w:ascii="Times New Roman" w:eastAsia="Times New Roman" w:hAnsi="Times New Roman" w:cs="Times New Roman"/>
      <w:sz w:val="28"/>
      <w:szCs w:val="24"/>
      <w:lang w:val="sr-Cyrl-CS" w:eastAsia="x-none"/>
    </w:rPr>
  </w:style>
  <w:style w:type="character" w:customStyle="1" w:styleId="Heading6Char">
    <w:name w:val="Heading 6 Char"/>
    <w:basedOn w:val="DefaultParagraphFont"/>
    <w:link w:val="Heading6"/>
    <w:rsid w:val="0087519E"/>
    <w:rPr>
      <w:rFonts w:ascii="Times New Roman" w:eastAsia="Times New Roman" w:hAnsi="Times New Roman" w:cs="Times New Roman"/>
      <w:sz w:val="28"/>
      <w:szCs w:val="24"/>
      <w:lang w:val="sr-Cyrl-CS" w:eastAsia="x-none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7519E"/>
    <w:pPr>
      <w:ind w:left="720"/>
      <w:contextualSpacing/>
    </w:pPr>
    <w:rPr>
      <w:lang w:val="x-none" w:eastAsia="x-none"/>
    </w:rPr>
  </w:style>
  <w:style w:type="paragraph" w:styleId="BodyTextIndent">
    <w:name w:val="Body Text Indent"/>
    <w:basedOn w:val="Normal"/>
    <w:link w:val="BodyTextIndentChar"/>
    <w:rsid w:val="0087519E"/>
    <w:pPr>
      <w:spacing w:after="0" w:line="240" w:lineRule="auto"/>
      <w:ind w:left="720" w:firstLine="720"/>
      <w:jc w:val="both"/>
    </w:pPr>
    <w:rPr>
      <w:rFonts w:ascii="Times New Roman" w:hAnsi="Times New Roman"/>
      <w:b/>
      <w:bCs/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87519E"/>
    <w:rPr>
      <w:rFonts w:ascii="Times New Roman" w:eastAsia="Times New Roman" w:hAnsi="Times New Roman" w:cs="Times New Roman"/>
      <w:b/>
      <w:bCs/>
      <w:sz w:val="24"/>
      <w:szCs w:val="24"/>
      <w:lang w:val="sr-Cyrl-CS" w:eastAsia="x-none"/>
    </w:rPr>
  </w:style>
  <w:style w:type="paragraph" w:styleId="BodyText">
    <w:name w:val="Body Text"/>
    <w:basedOn w:val="Normal"/>
    <w:link w:val="BodyTextChar"/>
    <w:rsid w:val="0087519E"/>
    <w:pPr>
      <w:spacing w:after="0" w:line="240" w:lineRule="auto"/>
      <w:jc w:val="both"/>
    </w:pPr>
    <w:rPr>
      <w:rFonts w:ascii="Times New Roman" w:hAnsi="Times New Roman"/>
      <w:sz w:val="24"/>
      <w:szCs w:val="24"/>
      <w:lang w:val="sr-Cyrl-BA" w:eastAsia="x-none"/>
    </w:rPr>
  </w:style>
  <w:style w:type="character" w:customStyle="1" w:styleId="BodyTextChar">
    <w:name w:val="Body Text Char"/>
    <w:basedOn w:val="DefaultParagraphFont"/>
    <w:link w:val="BodyText"/>
    <w:rsid w:val="0087519E"/>
    <w:rPr>
      <w:rFonts w:ascii="Times New Roman" w:eastAsia="Times New Roman" w:hAnsi="Times New Roman" w:cs="Times New Roman"/>
      <w:sz w:val="24"/>
      <w:szCs w:val="24"/>
      <w:lang w:val="sr-Cyrl-BA" w:eastAsia="x-none"/>
    </w:rPr>
  </w:style>
  <w:style w:type="paragraph" w:styleId="BodyTextIndent2">
    <w:name w:val="Body Text Indent 2"/>
    <w:aliases w:val="  uvlaka 2"/>
    <w:basedOn w:val="Normal"/>
    <w:link w:val="BodyTextIndent2Char"/>
    <w:rsid w:val="0087519E"/>
    <w:pPr>
      <w:tabs>
        <w:tab w:val="left" w:pos="720"/>
      </w:tabs>
      <w:spacing w:after="0" w:line="240" w:lineRule="auto"/>
      <w:ind w:left="720"/>
      <w:jc w:val="both"/>
    </w:pPr>
    <w:rPr>
      <w:rFonts w:ascii="Times New Roman" w:hAnsi="Times New Roman"/>
      <w:b/>
      <w:bCs/>
      <w:sz w:val="24"/>
      <w:szCs w:val="24"/>
      <w:lang w:val="sr-Cyrl-CS" w:eastAsia="x-none"/>
    </w:rPr>
  </w:style>
  <w:style w:type="character" w:customStyle="1" w:styleId="BodyTextIndent2Char">
    <w:name w:val="Body Text Indent 2 Char"/>
    <w:aliases w:val="  uvlaka 2 Char"/>
    <w:basedOn w:val="DefaultParagraphFont"/>
    <w:link w:val="BodyTextIndent2"/>
    <w:rsid w:val="0087519E"/>
    <w:rPr>
      <w:rFonts w:ascii="Times New Roman" w:eastAsia="Times New Roman" w:hAnsi="Times New Roman" w:cs="Times New Roman"/>
      <w:b/>
      <w:bCs/>
      <w:sz w:val="24"/>
      <w:szCs w:val="24"/>
      <w:lang w:val="sr-Cyrl-CS" w:eastAsia="x-none"/>
    </w:rPr>
  </w:style>
  <w:style w:type="paragraph" w:styleId="BodyTextIndent3">
    <w:name w:val="Body Text Indent 3"/>
    <w:aliases w:val=" uvlaka 3"/>
    <w:basedOn w:val="Normal"/>
    <w:link w:val="BodyTextIndent3Char"/>
    <w:rsid w:val="0087519E"/>
    <w:pPr>
      <w:tabs>
        <w:tab w:val="left" w:pos="720"/>
      </w:tabs>
      <w:spacing w:after="0" w:line="240" w:lineRule="auto"/>
      <w:ind w:left="720"/>
      <w:jc w:val="both"/>
    </w:pPr>
    <w:rPr>
      <w:rFonts w:ascii="Times New Roman" w:hAnsi="Times New Roman"/>
      <w:sz w:val="24"/>
      <w:szCs w:val="24"/>
      <w:lang w:val="sr-Cyrl-CS" w:eastAsia="x-none"/>
    </w:rPr>
  </w:style>
  <w:style w:type="character" w:customStyle="1" w:styleId="BodyTextIndent3Char">
    <w:name w:val="Body Text Indent 3 Char"/>
    <w:aliases w:val=" uvlaka 3 Char"/>
    <w:basedOn w:val="DefaultParagraphFont"/>
    <w:link w:val="BodyTextIndent3"/>
    <w:rsid w:val="0087519E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paragraph" w:customStyle="1" w:styleId="t-98-2">
    <w:name w:val="t-98-2"/>
    <w:basedOn w:val="Normal"/>
    <w:rsid w:val="008751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rsid w:val="0087519E"/>
    <w:pPr>
      <w:tabs>
        <w:tab w:val="left" w:pos="720"/>
      </w:tabs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val="sr-Cyrl-CS" w:eastAsia="x-none"/>
    </w:rPr>
  </w:style>
  <w:style w:type="character" w:customStyle="1" w:styleId="BodyText2Char">
    <w:name w:val="Body Text 2 Char"/>
    <w:basedOn w:val="DefaultParagraphFont"/>
    <w:link w:val="BodyText2"/>
    <w:rsid w:val="0087519E"/>
    <w:rPr>
      <w:rFonts w:ascii="Times New Roman" w:eastAsia="Times New Roman" w:hAnsi="Times New Roman" w:cs="Times New Roman"/>
      <w:b/>
      <w:bCs/>
      <w:sz w:val="24"/>
      <w:szCs w:val="24"/>
      <w:lang w:val="sr-Cyrl-CS" w:eastAsia="x-none"/>
    </w:rPr>
  </w:style>
  <w:style w:type="paragraph" w:customStyle="1" w:styleId="CharCharCharCharCharCharChar">
    <w:name w:val="Char Char Char Char Char Char Char"/>
    <w:basedOn w:val="Normal"/>
    <w:rsid w:val="0087519E"/>
    <w:pPr>
      <w:spacing w:after="160" w:line="240" w:lineRule="exact"/>
    </w:pPr>
    <w:rPr>
      <w:rFonts w:ascii="Tahoma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19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19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87519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7519E"/>
    <w:rPr>
      <w:rFonts w:ascii="Calibri" w:eastAsia="Times New Roman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semiHidden/>
    <w:unhideWhenUsed/>
    <w:rsid w:val="0087519E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7519E"/>
    <w:rPr>
      <w:rFonts w:ascii="Calibri" w:eastAsia="Times New Roman" w:hAnsi="Calibri" w:cs="Times New Roman"/>
      <w:lang w:val="x-none" w:eastAsia="x-none"/>
    </w:rPr>
  </w:style>
  <w:style w:type="character" w:styleId="CommentReference">
    <w:name w:val="annotation reference"/>
    <w:uiPriority w:val="99"/>
    <w:semiHidden/>
    <w:unhideWhenUsed/>
    <w:rsid w:val="008751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51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519E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19E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519E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rsid w:val="0087519E"/>
    <w:rPr>
      <w:rFonts w:ascii="Calibri" w:eastAsia="Times New Roman" w:hAnsi="Calibri" w:cs="Times New Roman"/>
      <w:lang w:val="x-none" w:eastAsia="x-none"/>
    </w:rPr>
  </w:style>
  <w:style w:type="paragraph" w:styleId="PlainText">
    <w:name w:val="Plain Text"/>
    <w:basedOn w:val="Normal"/>
    <w:link w:val="PlainTextChar"/>
    <w:uiPriority w:val="99"/>
    <w:rsid w:val="0087519E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87519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Spacing">
    <w:name w:val="No Spacing"/>
    <w:uiPriority w:val="1"/>
    <w:qFormat/>
    <w:rsid w:val="0087519E"/>
    <w:pPr>
      <w:spacing w:after="0" w:line="240" w:lineRule="auto"/>
    </w:pPr>
    <w:rPr>
      <w:rFonts w:ascii="Calibri" w:eastAsia="Calibri" w:hAnsi="Calibri" w:cs="Times New Roman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3222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dcterms:created xsi:type="dcterms:W3CDTF">2019-10-14T08:52:00Z</dcterms:created>
  <dcterms:modified xsi:type="dcterms:W3CDTF">2019-10-14T08:52:00Z</dcterms:modified>
</cp:coreProperties>
</file>